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0A38" w:rsidRDefault="00110A38" w:rsidP="00110A38">
      <w:pPr>
        <w:pStyle w:val="Default"/>
        <w:rPr>
          <w:b/>
          <w:bCs/>
          <w:sz w:val="28"/>
          <w:szCs w:val="28"/>
        </w:rPr>
      </w:pPr>
      <w:r>
        <w:t xml:space="preserve"> </w:t>
      </w:r>
      <w:r>
        <w:rPr>
          <w:b/>
          <w:bCs/>
          <w:sz w:val="28"/>
          <w:szCs w:val="28"/>
        </w:rPr>
        <w:t xml:space="preserve">Plan Management Advisory Committee Vacancy Announcement </w:t>
      </w:r>
    </w:p>
    <w:p w:rsidR="00110A38" w:rsidRDefault="00110A38" w:rsidP="00110A38">
      <w:pPr>
        <w:pStyle w:val="Default"/>
        <w:rPr>
          <w:b/>
          <w:bCs/>
          <w:sz w:val="28"/>
          <w:szCs w:val="28"/>
        </w:rPr>
      </w:pPr>
    </w:p>
    <w:p w:rsidR="00110A38" w:rsidRDefault="00110A38" w:rsidP="00110A38">
      <w:pPr>
        <w:pStyle w:val="Default"/>
        <w:rPr>
          <w:sz w:val="23"/>
          <w:szCs w:val="23"/>
        </w:rPr>
      </w:pPr>
      <w:r>
        <w:rPr>
          <w:sz w:val="23"/>
          <w:szCs w:val="23"/>
        </w:rPr>
        <w:t>The District of Columbia Health Benefit Exchange Authority (HBX) is seeking applicants to serve on its Plan Management Advisory Committee. Each appointment is for a term of two years, but may, pursuant to D.C. Code 31-3171.07(e</w:t>
      </w:r>
      <w:proofErr w:type="gramStart"/>
      <w:r>
        <w:rPr>
          <w:sz w:val="23"/>
          <w:szCs w:val="23"/>
        </w:rPr>
        <w:t>)(</w:t>
      </w:r>
      <w:proofErr w:type="gramEnd"/>
      <w:r>
        <w:rPr>
          <w:sz w:val="23"/>
          <w:szCs w:val="23"/>
        </w:rPr>
        <w:t xml:space="preserve">1), continue until a successor has been approved. Current members are welcome to reapply. This is a volunteer position with no compensation or other reimbursement from HBX. </w:t>
      </w:r>
    </w:p>
    <w:p w:rsidR="00110A38" w:rsidRDefault="00110A38" w:rsidP="00110A38">
      <w:pPr>
        <w:pStyle w:val="Default"/>
        <w:rPr>
          <w:sz w:val="23"/>
          <w:szCs w:val="23"/>
        </w:rPr>
      </w:pPr>
    </w:p>
    <w:p w:rsidR="00110A38" w:rsidRDefault="00110A38" w:rsidP="00110A38">
      <w:pPr>
        <w:pStyle w:val="Default"/>
        <w:rPr>
          <w:sz w:val="23"/>
          <w:szCs w:val="23"/>
        </w:rPr>
      </w:pPr>
      <w:r>
        <w:rPr>
          <w:sz w:val="23"/>
          <w:szCs w:val="23"/>
        </w:rPr>
        <w:t xml:space="preserve">People interested in serving should complete the application, attach a resume (attaching a cover letter is optional), and email all of this information to </w:t>
      </w:r>
      <w:hyperlink r:id="rId4" w:history="1">
        <w:r w:rsidRPr="00201BBA">
          <w:rPr>
            <w:rStyle w:val="Hyperlink"/>
            <w:sz w:val="23"/>
            <w:szCs w:val="23"/>
          </w:rPr>
          <w:t>PPM.Committees@dc.gov</w:t>
        </w:r>
      </w:hyperlink>
      <w:r>
        <w:rPr>
          <w:sz w:val="23"/>
          <w:szCs w:val="23"/>
        </w:rPr>
        <w:t xml:space="preserve">. </w:t>
      </w:r>
    </w:p>
    <w:p w:rsidR="00110A38" w:rsidRDefault="00110A38" w:rsidP="00110A38">
      <w:pPr>
        <w:pStyle w:val="Default"/>
        <w:rPr>
          <w:sz w:val="23"/>
          <w:szCs w:val="23"/>
        </w:rPr>
      </w:pPr>
    </w:p>
    <w:p w:rsidR="00110A38" w:rsidRDefault="00110A38" w:rsidP="00110A38">
      <w:pPr>
        <w:pStyle w:val="Default"/>
        <w:rPr>
          <w:sz w:val="23"/>
          <w:szCs w:val="23"/>
        </w:rPr>
      </w:pPr>
      <w:r>
        <w:rPr>
          <w:sz w:val="23"/>
          <w:szCs w:val="23"/>
        </w:rPr>
        <w:t xml:space="preserve">The HBX Standing Advisory Board (SAB) will review all applications and recommend candidates to the HBX Executive Board for appointment. </w:t>
      </w:r>
    </w:p>
    <w:p w:rsidR="00110A38" w:rsidRDefault="00110A38" w:rsidP="00110A38">
      <w:pPr>
        <w:pStyle w:val="Default"/>
        <w:rPr>
          <w:sz w:val="23"/>
          <w:szCs w:val="23"/>
        </w:rPr>
      </w:pPr>
    </w:p>
    <w:p w:rsidR="00110A38" w:rsidRPr="00110A38" w:rsidRDefault="00110A38" w:rsidP="00110A38">
      <w:pPr>
        <w:pStyle w:val="Default"/>
        <w:rPr>
          <w:b/>
          <w:bCs/>
          <w:sz w:val="23"/>
          <w:szCs w:val="23"/>
          <w:u w:val="single"/>
        </w:rPr>
      </w:pPr>
      <w:r w:rsidRPr="00110A38">
        <w:rPr>
          <w:b/>
          <w:bCs/>
          <w:sz w:val="23"/>
          <w:szCs w:val="23"/>
          <w:u w:val="single"/>
        </w:rPr>
        <w:t xml:space="preserve">The deadline to apply is </w:t>
      </w:r>
      <w:r w:rsidR="00954BDA">
        <w:rPr>
          <w:b/>
          <w:bCs/>
          <w:sz w:val="23"/>
          <w:szCs w:val="23"/>
          <w:u w:val="single"/>
        </w:rPr>
        <w:t>January 17</w:t>
      </w:r>
      <w:r w:rsidRPr="00110A38">
        <w:rPr>
          <w:b/>
          <w:bCs/>
          <w:sz w:val="23"/>
          <w:szCs w:val="23"/>
          <w:u w:val="single"/>
        </w:rPr>
        <w:t>, 20</w:t>
      </w:r>
      <w:r w:rsidR="00954BDA">
        <w:rPr>
          <w:b/>
          <w:bCs/>
          <w:sz w:val="23"/>
          <w:szCs w:val="23"/>
          <w:u w:val="single"/>
        </w:rPr>
        <w:t>20</w:t>
      </w:r>
      <w:bookmarkStart w:id="0" w:name="_GoBack"/>
      <w:bookmarkEnd w:id="0"/>
      <w:r w:rsidRPr="00110A38">
        <w:rPr>
          <w:b/>
          <w:bCs/>
          <w:sz w:val="23"/>
          <w:szCs w:val="23"/>
          <w:u w:val="single"/>
        </w:rPr>
        <w:t xml:space="preserve">. </w:t>
      </w:r>
    </w:p>
    <w:p w:rsidR="00110A38" w:rsidRDefault="00110A38" w:rsidP="00110A38">
      <w:pPr>
        <w:pStyle w:val="Default"/>
        <w:rPr>
          <w:sz w:val="23"/>
          <w:szCs w:val="23"/>
        </w:rPr>
      </w:pPr>
    </w:p>
    <w:p w:rsidR="00110A38" w:rsidRDefault="00110A38" w:rsidP="00110A38">
      <w:pPr>
        <w:pStyle w:val="Default"/>
        <w:rPr>
          <w:b/>
          <w:bCs/>
          <w:sz w:val="23"/>
          <w:szCs w:val="23"/>
        </w:rPr>
      </w:pPr>
      <w:r>
        <w:rPr>
          <w:b/>
          <w:bCs/>
          <w:sz w:val="23"/>
          <w:szCs w:val="23"/>
        </w:rPr>
        <w:t xml:space="preserve">MEMBERSHIP QUALIFICATIONS </w:t>
      </w:r>
    </w:p>
    <w:p w:rsidR="00110A38" w:rsidRDefault="00110A38" w:rsidP="00110A38">
      <w:pPr>
        <w:pStyle w:val="Default"/>
        <w:rPr>
          <w:sz w:val="23"/>
          <w:szCs w:val="23"/>
        </w:rPr>
      </w:pPr>
    </w:p>
    <w:p w:rsidR="00110A38" w:rsidRDefault="00110A38" w:rsidP="00110A38">
      <w:pPr>
        <w:pStyle w:val="Default"/>
        <w:rPr>
          <w:sz w:val="23"/>
          <w:szCs w:val="23"/>
        </w:rPr>
      </w:pPr>
      <w:r>
        <w:rPr>
          <w:sz w:val="23"/>
          <w:szCs w:val="23"/>
        </w:rPr>
        <w:t xml:space="preserve">Membership: Individuals must have expertise in at least one of the areas listed in D.C. Code §31- 3171.07(f): </w:t>
      </w:r>
    </w:p>
    <w:p w:rsidR="00110A38" w:rsidRDefault="00110A38" w:rsidP="00110A38">
      <w:pPr>
        <w:pStyle w:val="Default"/>
        <w:spacing w:after="27"/>
        <w:rPr>
          <w:sz w:val="23"/>
          <w:szCs w:val="23"/>
        </w:rPr>
      </w:pPr>
      <w:r>
        <w:rPr>
          <w:sz w:val="23"/>
          <w:szCs w:val="23"/>
        </w:rPr>
        <w:t>(1)Health professionals;</w:t>
      </w:r>
    </w:p>
    <w:p w:rsidR="00110A38" w:rsidRDefault="00110A38" w:rsidP="00110A38">
      <w:pPr>
        <w:pStyle w:val="Default"/>
        <w:spacing w:after="27"/>
        <w:rPr>
          <w:sz w:val="23"/>
          <w:szCs w:val="23"/>
        </w:rPr>
      </w:pPr>
      <w:r>
        <w:rPr>
          <w:sz w:val="23"/>
          <w:szCs w:val="23"/>
        </w:rPr>
        <w:t>(2)Health insurance consumers;</w:t>
      </w:r>
    </w:p>
    <w:p w:rsidR="00110A38" w:rsidRDefault="00110A38" w:rsidP="00110A38">
      <w:pPr>
        <w:pStyle w:val="Default"/>
        <w:spacing w:after="27"/>
        <w:rPr>
          <w:sz w:val="23"/>
          <w:szCs w:val="23"/>
        </w:rPr>
      </w:pPr>
      <w:r>
        <w:rPr>
          <w:sz w:val="23"/>
          <w:szCs w:val="23"/>
        </w:rPr>
        <w:t>(3)Disease and demographic-specific advocacy groups;</w:t>
      </w:r>
    </w:p>
    <w:p w:rsidR="00110A38" w:rsidRDefault="00110A38" w:rsidP="00110A38">
      <w:pPr>
        <w:pStyle w:val="Default"/>
        <w:spacing w:after="27"/>
        <w:rPr>
          <w:sz w:val="23"/>
          <w:szCs w:val="23"/>
        </w:rPr>
      </w:pPr>
      <w:r>
        <w:rPr>
          <w:sz w:val="23"/>
          <w:szCs w:val="23"/>
        </w:rPr>
        <w:t>(4)Commercial sector health plans;</w:t>
      </w:r>
    </w:p>
    <w:p w:rsidR="00110A38" w:rsidRDefault="00110A38" w:rsidP="00110A38">
      <w:pPr>
        <w:pStyle w:val="Default"/>
        <w:spacing w:after="27"/>
        <w:rPr>
          <w:sz w:val="23"/>
          <w:szCs w:val="23"/>
        </w:rPr>
      </w:pPr>
      <w:r>
        <w:rPr>
          <w:sz w:val="23"/>
          <w:szCs w:val="23"/>
        </w:rPr>
        <w:t>(5)Public sector health plans;</w:t>
      </w:r>
    </w:p>
    <w:p w:rsidR="00110A38" w:rsidRDefault="00110A38" w:rsidP="00110A38">
      <w:pPr>
        <w:pStyle w:val="Default"/>
        <w:spacing w:after="27"/>
        <w:rPr>
          <w:sz w:val="23"/>
          <w:szCs w:val="23"/>
        </w:rPr>
      </w:pPr>
      <w:r>
        <w:rPr>
          <w:sz w:val="23"/>
          <w:szCs w:val="23"/>
        </w:rPr>
        <w:t>(6)Health insurance brokers;</w:t>
      </w:r>
    </w:p>
    <w:p w:rsidR="00110A38" w:rsidRDefault="00110A38" w:rsidP="00110A38">
      <w:pPr>
        <w:pStyle w:val="Default"/>
        <w:spacing w:after="27"/>
        <w:rPr>
          <w:sz w:val="23"/>
          <w:szCs w:val="23"/>
        </w:rPr>
      </w:pPr>
      <w:r>
        <w:rPr>
          <w:sz w:val="23"/>
          <w:szCs w:val="23"/>
        </w:rPr>
        <w:t>(7)Health care consumer interest advocacy;</w:t>
      </w:r>
    </w:p>
    <w:p w:rsidR="00110A38" w:rsidRDefault="00110A38" w:rsidP="00110A38">
      <w:pPr>
        <w:pStyle w:val="Default"/>
        <w:spacing w:after="27"/>
        <w:rPr>
          <w:sz w:val="23"/>
          <w:szCs w:val="23"/>
        </w:rPr>
      </w:pPr>
      <w:r>
        <w:rPr>
          <w:sz w:val="23"/>
          <w:szCs w:val="23"/>
        </w:rPr>
        <w:t>(8)Health care foundations;</w:t>
      </w:r>
    </w:p>
    <w:p w:rsidR="00110A38" w:rsidRDefault="00110A38" w:rsidP="00110A38">
      <w:pPr>
        <w:pStyle w:val="Default"/>
        <w:spacing w:after="27"/>
        <w:rPr>
          <w:sz w:val="23"/>
          <w:szCs w:val="23"/>
        </w:rPr>
      </w:pPr>
      <w:r>
        <w:rPr>
          <w:sz w:val="23"/>
          <w:szCs w:val="23"/>
        </w:rPr>
        <w:t>(9)Exchange consumers; or</w:t>
      </w:r>
    </w:p>
    <w:p w:rsidR="00110A38" w:rsidRDefault="00110A38" w:rsidP="00110A38">
      <w:pPr>
        <w:pStyle w:val="Default"/>
        <w:rPr>
          <w:sz w:val="23"/>
          <w:szCs w:val="23"/>
        </w:rPr>
      </w:pPr>
      <w:r>
        <w:rPr>
          <w:sz w:val="23"/>
          <w:szCs w:val="23"/>
        </w:rPr>
        <w:t>(10)Such other interests considered necessary.</w:t>
      </w:r>
    </w:p>
    <w:p w:rsidR="00110A38" w:rsidRDefault="00110A38" w:rsidP="00110A38">
      <w:pPr>
        <w:pStyle w:val="Default"/>
        <w:rPr>
          <w:sz w:val="23"/>
          <w:szCs w:val="23"/>
        </w:rPr>
      </w:pPr>
    </w:p>
    <w:p w:rsidR="00110A38" w:rsidRDefault="00110A38" w:rsidP="00110A38">
      <w:pPr>
        <w:pStyle w:val="Default"/>
        <w:rPr>
          <w:sz w:val="23"/>
          <w:szCs w:val="23"/>
        </w:rPr>
      </w:pPr>
      <w:r>
        <w:rPr>
          <w:sz w:val="23"/>
          <w:szCs w:val="23"/>
        </w:rPr>
        <w:t xml:space="preserve">Additionally, for the Plan Management Committee, there specifically must be one (1) member with experience with consumer interest advocacy, one (1) member from each of the four (4) largest health insurance carriers by enrollment in the District, one (1) member from each of the two largest dental insurance carriers by enrollment, and one (1) plan management consultant outside of the four major plans on the exchange with health benefit design expertise. Individuals can be members of more than one advisory board, including the Standing Advisory Board. Demonstrated commitment as evidenced by service on HBX working groups or committees will be considered. </w:t>
      </w:r>
    </w:p>
    <w:p w:rsidR="00110A38" w:rsidRDefault="00110A38" w:rsidP="00110A38">
      <w:pPr>
        <w:pStyle w:val="Default"/>
        <w:rPr>
          <w:sz w:val="23"/>
          <w:szCs w:val="23"/>
        </w:rPr>
      </w:pPr>
    </w:p>
    <w:p w:rsidR="00110A38" w:rsidRDefault="00110A38" w:rsidP="00110A38">
      <w:pPr>
        <w:pStyle w:val="Default"/>
        <w:rPr>
          <w:b/>
          <w:bCs/>
          <w:sz w:val="23"/>
          <w:szCs w:val="23"/>
        </w:rPr>
      </w:pPr>
      <w:r>
        <w:rPr>
          <w:b/>
          <w:bCs/>
          <w:sz w:val="23"/>
          <w:szCs w:val="23"/>
        </w:rPr>
        <w:t xml:space="preserve">BACKGROUND ON THE PLAN MANAGEMENT ADVISORY COMMITTEE </w:t>
      </w:r>
    </w:p>
    <w:p w:rsidR="00110A38" w:rsidRDefault="00110A38" w:rsidP="00110A38">
      <w:pPr>
        <w:pStyle w:val="Default"/>
        <w:rPr>
          <w:sz w:val="23"/>
          <w:szCs w:val="23"/>
        </w:rPr>
      </w:pPr>
    </w:p>
    <w:p w:rsidR="00110A38" w:rsidRDefault="00110A38" w:rsidP="00110A38">
      <w:pPr>
        <w:pStyle w:val="Default"/>
        <w:rPr>
          <w:sz w:val="23"/>
          <w:szCs w:val="23"/>
        </w:rPr>
      </w:pPr>
      <w:r>
        <w:rPr>
          <w:sz w:val="23"/>
          <w:szCs w:val="23"/>
        </w:rPr>
        <w:t xml:space="preserve">The Plan Management Advisory Committee was established through a resolution of the Executive Board of the District of Columbia Health Benefit Exchange Authority on December 12, 2012. </w:t>
      </w:r>
    </w:p>
    <w:p w:rsidR="00110A38" w:rsidRDefault="00110A38" w:rsidP="00110A38">
      <w:pPr>
        <w:pStyle w:val="Default"/>
        <w:rPr>
          <w:sz w:val="23"/>
          <w:szCs w:val="23"/>
        </w:rPr>
      </w:pPr>
      <w:r>
        <w:rPr>
          <w:sz w:val="23"/>
          <w:szCs w:val="23"/>
        </w:rPr>
        <w:t xml:space="preserve">The Plan Management Advisory Committee advises the Executive Board on qualified health plan (QHP) requirements, dental plan requirements, certification processes, QHP enrollment, and other issues as requested by the Executive Board or Authority staff. </w:t>
      </w:r>
    </w:p>
    <w:p w:rsidR="00B73EA8" w:rsidRDefault="00110A38" w:rsidP="00110A38">
      <w:r>
        <w:rPr>
          <w:sz w:val="23"/>
          <w:szCs w:val="23"/>
        </w:rPr>
        <w:lastRenderedPageBreak/>
        <w:t>The Plan Management Advisory Committee meets as needed, approximately four times per year. Meetings occur at HBX headquarters (1225 Eye St NW, 4</w:t>
      </w:r>
      <w:r>
        <w:rPr>
          <w:sz w:val="16"/>
          <w:szCs w:val="16"/>
        </w:rPr>
        <w:t xml:space="preserve">th </w:t>
      </w:r>
      <w:r>
        <w:rPr>
          <w:sz w:val="23"/>
          <w:szCs w:val="23"/>
        </w:rPr>
        <w:t>floor) and are always also accessible by phone.</w:t>
      </w:r>
    </w:p>
    <w:sectPr w:rsidR="00B73E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698"/>
    <w:rsid w:val="00110A38"/>
    <w:rsid w:val="00952698"/>
    <w:rsid w:val="00954BDA"/>
    <w:rsid w:val="00B73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D536BF-7344-489E-8811-7810B46F5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10A38"/>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110A3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PM.Committees@d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451</Words>
  <Characters>2256</Characters>
  <Application>Microsoft Office Word</Application>
  <DocSecurity>0</DocSecurity>
  <Lines>1128</Lines>
  <Paragraphs>169</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2538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Hooker, Robert (DCHBX)</dc:creator>
  <cp:keywords/>
  <dc:description/>
  <cp:lastModifiedBy>luis.vasquez3</cp:lastModifiedBy>
  <cp:revision>2</cp:revision>
  <dcterms:created xsi:type="dcterms:W3CDTF">2019-12-13T04:47:00Z</dcterms:created>
  <dcterms:modified xsi:type="dcterms:W3CDTF">2019-12-13T04:47:00Z</dcterms:modified>
</cp:coreProperties>
</file>